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 апреля 2008 года N 220-ПК</w:t>
      </w:r>
      <w:r>
        <w:rPr>
          <w:rFonts w:ascii="Calibri" w:hAnsi="Calibri" w:cs="Calibri"/>
        </w:rPr>
        <w:br/>
      </w: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ПЕРМСКИЙ КРАЙ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НАУКЕ И НАУЧНО-ТЕХНИЧЕСКОЙ ПОЛИТИКЕ В ПЕРМСКОМ КРАЕ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Законодательным Собранием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20 марта 2008 года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Пермского края от 29.11.2010 </w:t>
      </w:r>
      <w:hyperlink r:id="rId4" w:history="1">
        <w:r>
          <w:rPr>
            <w:rFonts w:ascii="Calibri" w:hAnsi="Calibri" w:cs="Calibri"/>
            <w:color w:val="0000FF"/>
          </w:rPr>
          <w:t>N 711-ПК</w:t>
        </w:r>
      </w:hyperlink>
      <w:r>
        <w:rPr>
          <w:rFonts w:ascii="Calibri" w:hAnsi="Calibri" w:cs="Calibri"/>
        </w:rPr>
        <w:t>,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28.08.2012 </w:t>
      </w:r>
      <w:hyperlink r:id="rId5" w:history="1">
        <w:r>
          <w:rPr>
            <w:rFonts w:ascii="Calibri" w:hAnsi="Calibri" w:cs="Calibri"/>
            <w:color w:val="0000FF"/>
          </w:rPr>
          <w:t>N 82-ПК</w:t>
        </w:r>
      </w:hyperlink>
      <w:r>
        <w:rPr>
          <w:rFonts w:ascii="Calibri" w:hAnsi="Calibri" w:cs="Calibri"/>
        </w:rPr>
        <w:t>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содержит правовые, организационные, экономические и социальные нормы и гарантии, регулирующие отношения между субъектами научной и(или) научно-технической деятельности, органами государственной власти Пермского края и потребителями научной и(или) научно-технической продукции (работ, услуг).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20"/>
      <w:bookmarkEnd w:id="0"/>
      <w:r>
        <w:rPr>
          <w:rFonts w:ascii="Calibri" w:hAnsi="Calibri" w:cs="Calibri"/>
          <w:b/>
          <w:bCs/>
        </w:rPr>
        <w:t>Раздел I. ОБЩИЕ ПОЛОЖЕНИЯ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" w:name="Par22"/>
      <w:bookmarkEnd w:id="1"/>
      <w:r>
        <w:rPr>
          <w:rFonts w:ascii="Calibri" w:hAnsi="Calibri" w:cs="Calibri"/>
        </w:rPr>
        <w:t>Статья 1. Правовые основы закона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Правовую основу настоящего Закона составляют </w:t>
      </w:r>
      <w:hyperlink r:id="rId6" w:history="1">
        <w:r>
          <w:rPr>
            <w:rFonts w:ascii="Calibri" w:hAnsi="Calibri" w:cs="Calibri"/>
            <w:color w:val="0000FF"/>
          </w:rPr>
          <w:t>Конституция</w:t>
        </w:r>
      </w:hyperlink>
      <w:r>
        <w:rPr>
          <w:rFonts w:ascii="Calibri" w:hAnsi="Calibri" w:cs="Calibri"/>
        </w:rPr>
        <w:t xml:space="preserve"> Российской Федерации, Федеральный </w:t>
      </w:r>
      <w:hyperlink r:id="rId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"О науке и государственной научно-технической политике", иные нормативные правовые акты Российской Федерации, </w:t>
      </w:r>
      <w:hyperlink r:id="rId8" w:history="1">
        <w:r>
          <w:rPr>
            <w:rFonts w:ascii="Calibri" w:hAnsi="Calibri" w:cs="Calibri"/>
            <w:color w:val="0000FF"/>
          </w:rPr>
          <w:t>Устав</w:t>
        </w:r>
      </w:hyperlink>
      <w:r>
        <w:rPr>
          <w:rFonts w:ascii="Calibri" w:hAnsi="Calibri" w:cs="Calibri"/>
        </w:rPr>
        <w:t xml:space="preserve"> Пермского края и иные нормативные правовые акты Пермского края, принятые в соответствии с настоящим Законом.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" w:name="Par26"/>
      <w:bookmarkEnd w:id="2"/>
      <w:r>
        <w:rPr>
          <w:rFonts w:ascii="Calibri" w:hAnsi="Calibri" w:cs="Calibri"/>
        </w:rPr>
        <w:t>Статья 2. Основные понятия, применяемые в настоящем Законе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Научно-техническая политика Пермского края - составная часть социально-экономической политики Пермского края, которая представляет собой совокупность осуществляемых органами государственной власти Пермского края мер, направленных на формирование условий для развития научной и(или) научно-технической деятельности, и определяет цели, направления, формы деятельности органов государственной власти Пермского края в сфере науки, техники, технологии и реализации достижений науки и техники.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Сфера науки и(или) научно-технической деятельности - сфера профессионального взаимодействия субъектов научной и(или) научно-технической деятельности, органов государственной власти и потребителей научной и(или) научно-технической продукции (работ, услуг).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" w:name="Par31"/>
      <w:bookmarkEnd w:id="3"/>
      <w:r>
        <w:rPr>
          <w:rFonts w:ascii="Calibri" w:hAnsi="Calibri" w:cs="Calibri"/>
        </w:rPr>
        <w:t>Статья 3. Основные задачи и принципы научно-технической политики 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Основными задачами научно-технической политики являются: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и эффективное использование научно-технического потенциала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прогрессивных структурных преобразований в области материального производства, повышение его эффективности и конкурентоспособности продукции;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рост вклада науки и техники в развитие экономики, решение важнейших социальных задач, улучшение экологической обстановки;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повышение качества жизни населения;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повышение роли науки в образовательном процессе;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укрепление взаимосвязи науки, образования и производства.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Научно-техническая политика Пермского края осуществляется исходя из следующих основных принципов: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реализация научно-технической политики как составной части социально-экономической политики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гарантия приоритетного развития прикладных научных исследований в области естественных, технических, общественных и гуманитарных наук, направленных на развитие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концентрация ресурсов на приоритетных направлениях развития науки и техники;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привлечение научного сообщества к решению основных проблем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условий для обеспечения экологической безопасности и сохранения биологического разнообразия;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и поддержка межрегиональных связей и международного сотрудничества в сфере научной и(или) научно-технической деятельности.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4" w:name="Par48"/>
      <w:bookmarkEnd w:id="4"/>
      <w:r>
        <w:rPr>
          <w:rFonts w:ascii="Calibri" w:hAnsi="Calibri" w:cs="Calibri"/>
          <w:b/>
          <w:bCs/>
        </w:rPr>
        <w:t>Раздел II. ОРГАНИЗАЦИЯ И ПРИНЦИПЫ РЕГУЛИРОВАНИЯ НАУЧНОЙ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НАУЧНО-ТЕХНИЧЕСКОЙ ДЕЯТЕЛЬНОСТИ НА ТЕРРИТОРИИ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5" w:name="Par52"/>
      <w:bookmarkEnd w:id="5"/>
      <w:r>
        <w:rPr>
          <w:rFonts w:ascii="Calibri" w:hAnsi="Calibri" w:cs="Calibri"/>
        </w:rPr>
        <w:t>Статья 4. Управление научной и(или) научно-технической деятельностью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 территории Пермского края регулирование научной и(или) научно-технической деятельности осуществляют органы государственной власти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Управление научной и(или) научно-технической деятельностью осуществляется на основе сочетания принципов государственного регулирования и самоуправления.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Органы государственной власти, научные организации в пределах своих полномочий реализуют приоритетные направления научно-технической политики, обеспечивают формирование краевой системы научных организаций, осуществление межотраслевой координации краевых научных и долгосрочных целевых программ в сфере научной и(или) научно-технической деятельности, развитие форм интеграции науки и производства, реализацию достижений науки и техники.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Управление научной и(или) научно-технической деятельностью осуществляется в пределах, не нарушающих свободу научного творчества субъектов научной и(или) научно-технической деятельности. Органы государственной власти Пермского края: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утверждают уставы государственных научных организаций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осуществляют контроль за эффективным использованием и сохранностью имущества, предоставленного государственным научным организациям;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осуществляют другие функции в пределах их полномочий.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Руководители государственных научных организаций, а также негосударственных научных организаций назначаются (избираются) в соответствии с законодательством Российской Федерации и в порядке, предусмотренном их уставами.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6" w:name="Par64"/>
      <w:bookmarkEnd w:id="6"/>
      <w:r>
        <w:rPr>
          <w:rFonts w:ascii="Calibri" w:hAnsi="Calibri" w:cs="Calibri"/>
        </w:rPr>
        <w:t>Статья 5. Компетенция Законодательного Собрания 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Законодательное Собрание Пермского края в области науки и научно-технической политики: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законодательное регулирование краевой научно-технической политики;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утверждает концепции долгосрочных целевых программ в сфере научной и(или) научно-технической деятельности;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участвует в работе координационных и экспертных советов по проблемам науки и научно-технической политики, научно-технических комиссий, экспертных и рабочих групп;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осуществляет контроль за исполнением краевого бюджета в части средств, направляемых на </w:t>
      </w:r>
      <w:r>
        <w:rPr>
          <w:rFonts w:ascii="Calibri" w:hAnsi="Calibri" w:cs="Calibri"/>
        </w:rPr>
        <w:lastRenderedPageBreak/>
        <w:t>реализацию долгосрочных целевых программ в сфере научной и(или) научно-технической деятельности;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иные полномочия в соответствии с законодательством Российской Федерации 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7" w:name="Par75"/>
      <w:bookmarkEnd w:id="7"/>
      <w:r>
        <w:rPr>
          <w:rFonts w:ascii="Calibri" w:hAnsi="Calibri" w:cs="Calibri"/>
        </w:rPr>
        <w:t>Статья 6. Компетенция губернатора 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Губернатор Пермского края в сфере научной и научно-технической политики края: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утверждает приоритетные направления научной и научно-технической политики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иные полномочия в соответствии с законодательством Российской Федерации 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8" w:name="Par82"/>
      <w:bookmarkEnd w:id="8"/>
      <w:r>
        <w:rPr>
          <w:rFonts w:ascii="Calibri" w:hAnsi="Calibri" w:cs="Calibri"/>
        </w:rPr>
        <w:t>Статья 7. Компетенция Правительства 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реализации научной и научно-технической политики края Правительство Пермского края: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определяет уполномоченный исполнительный орган государственной власти в сфере научной и(или) научно-технической деятельности;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обеспечивает реализацию приоритетных направлений научно-технической политики;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способствует созданию условий для развития и эффективного использования научно-технического потенциала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разрабатывает концепции долгосрочных целевых программ в сфере научной и(или) научно-технической деятельности;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утверждает долгосрочные целевые программы в сфере научной и(или) научно-технической деятельности;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обеспечивает разработку критериев социально-экономической значимости краевых научных, научно-технических программ, экспериментальных разработок, научно-технических результатов и научно-технической продукции (работ, услуг);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обеспечивает финансирование научной и(или) научно-технической деятельности, выполняемой по государственным заказам;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определяет цели, условия и порядок предоставления субсидий для осуществления научной и(или) научно-технической деятельности;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28.08.2012 N 82-ПК)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обеспечивает разработку и функционирование механизмов реализации научно-технической политики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иные полномочия в соответствии с законодательством Российской Федерации 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9" w:name="Par100"/>
      <w:bookmarkEnd w:id="9"/>
      <w:r>
        <w:rPr>
          <w:rFonts w:ascii="Calibri" w:hAnsi="Calibri" w:cs="Calibri"/>
        </w:rPr>
        <w:t>Статья 8. Формы государственной поддержки научной и(или) научно-технической деятельности в Пермском крае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Государственная поддержка научной и(или) научно-технической деятельности осуществляется путем предоставления: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грантов и субсидий;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28.08.2012 N 82-ПК)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премий и стипендий;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налоговых льгот в соответствии с законодательством Российской Федерации и Пермского края о налогах и сборах;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бюджетных инвестиций в соответствии с законодательством Российской Федерации и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государственных гарантий Пермского края в соответствии с законодательством Российской Федерации и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ежемесячных денежных выплат отдельным категориям граждан в соответствии с законодательством Российской Федерации и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28.08.2012 N 82-ПК)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иных видов государственной поддержки, предусмотренных законодательством Российской Федерации 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0" w:name="Par113"/>
      <w:bookmarkEnd w:id="10"/>
      <w:r>
        <w:rPr>
          <w:rFonts w:ascii="Calibri" w:hAnsi="Calibri" w:cs="Calibri"/>
        </w:rPr>
        <w:t>Статья 9. Правовые отношения по созданию, передаче и использованию научной и(или) научно-технической продукции (работ, услуг)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Основной правовой формой отношений между научной организацией, заказчиком и иными потребителями научной и(или) научно-технической продукции (работ, услуг), в том числе и органами государственной власти Пермского края, являются договоры (контракты, соглашения) на создание, передачу и использование научной и(или) научно-технической продукции (работ, услуг), оказание научных, научно-технических, инженерно-консультационных и иных услуг, а также другие договоры, в том числе договоры о совместной научной и(или) научно-технической деятельности и распределении прибыли.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 основе указанных договоров (контрактов) выполняются научные исследования и экспериментальные разработки для государственных нужд. В этих случаях договоры (контракты) заключаются между государственным органом - заказчиком и организацией-исполнителем в соответствии с законодательством Российской Федерации.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Условия владения, пользования и распоряжения научными и(или) научно-техническими результатами определяются законодательством Российской Федерации, нормативными правовыми актами Пермского края, а также не противоречащими ему договорами (контрактами) сторон - субъектов научной, научно-технической деятельности и потребителей научной и(или) научно-технической продукции (работ, услуг).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1" w:name="Par119"/>
      <w:bookmarkEnd w:id="11"/>
      <w:r>
        <w:rPr>
          <w:rFonts w:ascii="Calibri" w:hAnsi="Calibri" w:cs="Calibri"/>
          <w:b/>
          <w:bCs/>
        </w:rPr>
        <w:t>Раздел III. РЕАЛИЗАЦИЯ НАУЧНО-ТЕХНИЧЕСКОЙ ПОЛИТИКИ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2" w:name="Par122"/>
      <w:bookmarkEnd w:id="12"/>
      <w:r>
        <w:rPr>
          <w:rFonts w:ascii="Calibri" w:hAnsi="Calibri" w:cs="Calibri"/>
        </w:rPr>
        <w:t>Статья 10. Долгосрочные целевые программы в сфере научной и(или) научно-технической деятельности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29.11.2010 N 711-ПК в часть первую статьи 10 внесены изменения: слова "долгосрочные целевые программы в сфере научной и(или) научно-технической деятельности" заменены словами "долгосрочные научно-технические программы".</w:t>
      </w: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Важнейшим механизмом реализации научно-технической политики Пермского края являются краевые научно-технические программы, выполняемые на конкурсной основе.</w:t>
      </w: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29.11.2010 N 711-ПК в часть вторую статьи 10 внесены изменения: слова "долгосрочные целевые программы в сфере научной и(или) научно-технической деятельности" заменены словами "долгосрочные научно-технические программы".</w:t>
      </w: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Краевые научно-технические программы, формируемые на базе основных направлений научно-технической политики Пермского края и на основе приоритетных направлений и прогнозов развития науки и техники с учетом результатов анализа экономического и экологического состояния края и внешнеэкономических условий, увязываются с промышленной и экономической политикой Пермского края.</w:t>
      </w: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29.11.2010 N 711-ПК в часть третью статьи 10 внесены изменения: слова "долгосрочные целевые программы в сфере научной и(или) научно-технической </w:t>
      </w:r>
      <w:r>
        <w:rPr>
          <w:rFonts w:ascii="Calibri" w:hAnsi="Calibri" w:cs="Calibri"/>
        </w:rPr>
        <w:lastRenderedPageBreak/>
        <w:t>деятельности" заменены словами "долгосрочные научно-технические программы".</w:t>
      </w: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Краевые научно-технические программы имеют целевую ориентацию на: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основ перехода к экономике знаний и повышение качества жизни населения;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условий для развития науки и системы подготовки научных кадров;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путей реализации приоритетных направлений в научно-технической сфере и концентрацию имеющихся ресурсов для достижения поставленных целей;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государственного заказа на научные исследования, выполняемые на конкурсной основе.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Условия разработки долгосрочных целевых программ в сфере научной и(или) научно-технической деятельности, проведение их анализа и экспертизы, порядок заключения договоров на их выполнение, контроль выполнения договоров и внедрения полученных результатов определяются в соответствии с нормативными правовыми актами органов государственной власти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3" w:name="Par144"/>
      <w:bookmarkEnd w:id="13"/>
      <w:r>
        <w:rPr>
          <w:rFonts w:ascii="Calibri" w:hAnsi="Calibri" w:cs="Calibri"/>
        </w:rPr>
        <w:t>Статья 11. Содействие фундаментальным и прикладным научным исследованиям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государственной власти Пермского края содействуют развитию фундаментальных и прикладных научных исследований, в том числе: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поддерживают и укрепляют интеграцию научных и(или) научно-технических школ с целью максимально эффективного вовлечения научно-технического потенциала Пермского края в его экономическое развитие;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участвуют в софинансировании грантов в области фундаментальных и прикладных исследований, поддержанных российскими и международными фондами и организациями;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финансируют долгосрочные целевые программы в сфере научной и(или) научно-технической деятельности, разработанные на основе многодисциплинарного характера научно-исследовательских опытно-конструкторских работ и взаимозависимости направлений научных исследований, с целью обеспечения высокого уровня разработок новой техники и технологии.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Органы государственной власти Пермского края способствуют организации и деятельности на территории Пермского края общественных профессиональных объединений научных работников, привлекая их на конкурсной основе к выполнению программ, проведению экспертизы и т.п.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4" w:name="Par153"/>
      <w:bookmarkEnd w:id="14"/>
      <w:r>
        <w:rPr>
          <w:rFonts w:ascii="Calibri" w:hAnsi="Calibri" w:cs="Calibri"/>
        </w:rPr>
        <w:t>Статья 12. Интеграция научной, научно-технической и образовательной деятельности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Интеграция научной, научно-технической и образовательной деятельности осуществляется на основе участия профессорско-преподавательского состава, докторантов, аспирантов и студентов учреждений высшего профессионального образования Пермского края в научных исследованиях и экспериментальных разработках и привлечения высококвалифицированных научных работников, работников отраслевых научно-исследовательских организаций и научно-производственных объединений к преподавательской деятельности.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Приоритетными направлениями в интеграции научной, научно-технической и образовательной деятельности являются: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поиск, отбор и целенаправленная подготовка молодежи к научной и(или) научно-технической деятельности путем привлечения молодых ученых и студентов к участию в олимпиадах, конкурсах, выставках, конференциях, оказание им государственной поддержки на основе специальных образовательных программ;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участие в выполнении межотраслевых научных исследований;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издание научных трудов, учебников и учебных пособий, методических рекомендаций, отражающих новейшие достижения науки и педагогики.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Учреждение премий Пермского края в области науки и порядок их присуждения определяются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 Учреждение ежемесячных денежных выплат докторам и кандидатам наук, именных и дополнительных стипендий студентам, аспирантам, докторантам, научным сотрудникам образовательных учреждений и научных организаций, зарегистрированных на территории Пермского края, осуществляется в соответствии с законами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 ред.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28.08.2012 N 82-ПК)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5" w:name="Par164"/>
      <w:bookmarkEnd w:id="15"/>
      <w:r>
        <w:rPr>
          <w:rFonts w:ascii="Calibri" w:hAnsi="Calibri" w:cs="Calibri"/>
        </w:rPr>
        <w:t>Статья 13. Поддержка конкуренции и предпринимательства в сфере науки и(или) научно-технической деятельности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государственной власти Пермского края поощряют появление и деятельность разных научных школ, осуществляют меры по развитию рынков научной и(или) научно-технической продукции (работ, услуг), предпринимательства, инфраструктуры.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Органы государственной власти Пермского края поддерживают создание разнообразных, в том числе и малых, форм научной и(или) научно-технической деятельности путем целенаправленной кредитно-финансовой, ценовой, налоговой и антимонопольной политики.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6" w:name="Par169"/>
      <w:bookmarkEnd w:id="16"/>
      <w:r>
        <w:rPr>
          <w:rFonts w:ascii="Calibri" w:hAnsi="Calibri" w:cs="Calibri"/>
        </w:rPr>
        <w:t>Статья 14. Информационное обеспечение научной и(или) научно-технической деятельности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государственной власти Пермского края содействует созданию информационной инфраструктуры в сфере науки и(или) научно-технической деятельности, осуществляющей сбор, государственную регистрацию, аналитическую обработку, хранение и доведение до потребителей научной и технической информации в порядке, установленном Правительством Пермского края, содействуют изданию научной и(или) научно-технической продукции (работ, услуг) и приобретению научных журналов, книг и иных печатных изданий о научных и(или) научно-технических результатах за пределами Пермского края и Российской Федерации, гарантируют субъектам научной и(или) научно-технической деятельности доступ к указанной информации.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Субъекты научной и(или) научно-технической деятельности имеют право на обмен информацией, за исключением информации, содержащей сведения, относящиеся к государственной, служебной или коммерческой тайне.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Органы государственной власти Пермского края содействуют публикации информации, в том числе за пределами Пермского края и Российской Федерации, о созданной за счет средств краевого бюджета научной и(или) научно-технической продукции (работах, услугах), а также о полученных научных и(или) научно-технических результатах.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7" w:name="Par175"/>
      <w:bookmarkEnd w:id="17"/>
      <w:r>
        <w:rPr>
          <w:rFonts w:ascii="Calibri" w:hAnsi="Calibri" w:cs="Calibri"/>
        </w:rPr>
        <w:t>Статья 15. Организация и проведение экспертизы в научной и(или) научно-технической деятельности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Органы государственной власти Пермского края организуют проведение экспертиз долгосрочных целевых программ в сфере научной и(или) научно-технической деятельности, финансируемых за счет средств краевого бюджета.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29.11.2010 N 711-ПК)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Экспертиза проводится экспертными организациями, а также экспертами с участием организаций, финансирующих научную и(или) научно-техническую деятельность.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экспертизе научной и(или) научно-технической деятельности не может участвовать специалист, имеющий личную заинтересованность в ее результатах.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Порядок, объем и характер экспертизы определяются Правительством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Обязательная экспертиза проводится при: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выборе приоритетных направлений государственной научно-технической политики, а также развития науки и техники;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формировании научных и научно-технических программ;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проведении конкурсов на участие в научных и научно-технических программах, контроле за их осуществлением и использованием полученных научных и(или) научно-технических результатов в экономике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оценке завершенных научных и научно-технических разработок, выполняемых по заказу </w:t>
      </w:r>
      <w:r>
        <w:rPr>
          <w:rFonts w:ascii="Calibri" w:hAnsi="Calibri" w:cs="Calibri"/>
        </w:rPr>
        <w:lastRenderedPageBreak/>
        <w:t>органов государственной власти Пермского края;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принятии решений о внедрении полученных результатов.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По результатам проведенных экспертиз Правительство Пермского края при необходимости заблаговременно информирует органы местного самоуправления и население о безопасности, в том числе экологической, об экономической и социальной значимости мероприятий, проводимых в соответствии с программами, а также создаваемых производств и объектов, использующих результаты научной деятельности.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случаях, предусмотренных законодательством Российской Федерации, в установленном порядке проводится обязательная государственная экспертиза научно-технических программ.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8" w:name="Par191"/>
      <w:bookmarkEnd w:id="18"/>
      <w:r>
        <w:rPr>
          <w:rFonts w:ascii="Calibri" w:hAnsi="Calibri" w:cs="Calibri"/>
        </w:rPr>
        <w:t>Статья 16. Финансирование научной и(или) научно-технической деятельности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Финансирование научной и(или) научно-технической деятельности основывается на привлечении различных источников финансирования и ее целевой ориентации.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Объем финансирования определяется при утверждении краевого бюджета на очередной финансовый год.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В целях содействия реализации инициативных проектов научных исследований в Пермском крае могут создаваться фонды поддержки научной и(или) научно-технической деятельности в соответствии с законодательством Российской Федерации. Указанные фонды создаются в форме учреждений, деятельность которых финансируется за счет средств краевого бюджета и иных источников, не запрещенных законодательством Российской Федерации.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Органы государственной власти Пермского края определяют порядок расходования средств, выделенных из бюджета края на научную и(или) научно-техническую деятельность, и осуществляют контроль за их расходованием.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Научная и(или) научно-техническая деятельность может осуществляться за счет грантов. Гранты передаются научным работникам, научным организациям, образовательным учреждениям высшего профессионального образования, другим юридическим лицам и гражданам.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Пермского края от 28.08.2012 N 82-ПК)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Научная и(или) научно-техническая деятельность может осуществляться за счет субсидий. Субсидии предоставляются юридическим лицам (за исключением субсидий государственным (муниципальным) учреждениям), индивидуальным предпринимателям в целях возмещения части затрат для реализации научных проектов международными исследовательскими группами ученых, на выполнение научно-исследовательских и опытно-конструкторских работ (НИОКР) и других затрат в рамках осуществления научной и(или) научно-технической деятельности (далее - субсидии) в соответствии с законами Пермского края, постановлениями Правительства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Отдельные меры поддержки научной и(или) научно-технической деятельности могут реализовываться некоммерческими организациями, образующими инфраструктуру поддержки субъектов малого и среднего предпринимательства, учрежденными исполнительным органом государственной власти Пермского края, обеспечивающим реализацию государственной политики Пермского края в области развития малого и среднего предпринимательства, совместно с организацией, имеющей государственную регистрацию в Пермском крае и в уставные цели деятельности которой входит формирование современной промышленной, финансовой и торговой инфраструктуры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6 введена </w:t>
      </w:r>
      <w:hyperlink r:id="rId2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Пермского края от 28.08.2012 N 82-ПК)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9" w:name="Par203"/>
      <w:bookmarkEnd w:id="19"/>
      <w:r>
        <w:rPr>
          <w:rFonts w:ascii="Calibri" w:hAnsi="Calibri" w:cs="Calibri"/>
          <w:b/>
          <w:bCs/>
        </w:rPr>
        <w:t>Раздел IV. МЕЖДУНАРОДНОЕ И МЕЖРЕГИОНАЛЬНОЕ СОТРУДНИЧЕСТВО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ВНЕШНЕЭКОНОМИЧЕСКАЯ ДЕЯТЕЛЬНОСТЬ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0" w:name="Par206"/>
      <w:bookmarkEnd w:id="20"/>
      <w:r>
        <w:rPr>
          <w:rFonts w:ascii="Calibri" w:hAnsi="Calibri" w:cs="Calibri"/>
        </w:rPr>
        <w:t>Статья 17. Правовые основы международного и межрегионального сотрудничества и внешнеэкономической деятельности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Органы государственной власти Пермского края создают правовые, экономические, материальные, организационные и другие условия для наиболее эффективного международного и межрегионального сотрудничества субъектов научной и(или) научно-технической деятельности, </w:t>
      </w:r>
      <w:r>
        <w:rPr>
          <w:rFonts w:ascii="Calibri" w:hAnsi="Calibri" w:cs="Calibri"/>
        </w:rPr>
        <w:lastRenderedPageBreak/>
        <w:t>содействуют развитию научно-технического сотрудничества на основе многосторонних и двусторонних договоров с ними.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Субъект научной и(или) научно-технической деятельности вправе вступать в международные научные и научно-технические организации и объединения, участвовать в международных научных и научно-технических программах, научных и научно-технических программах иностранных государств, заключать договоры (контракты) и иные соглашения с иностранными юридическими лицами на работу как в Российской Федерации, так и за пределами территории Российской Федерации в порядке, установленном законодательством Российской Федерации.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Ограничение форм и методов международного сотрудничества для субъектов научной и(или) научно-технической деятельности допускается только в порядке, предусмотренном законодательством Российской Федерации о государственной тайне.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 территории Пермского края могут создаваться совместные научные организации, научные центры и фонды с участием иностранных граждан, лиц без гражданства и иностранных юридических лиц.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Международные и зарубежные научные и благотворительные фонды, финансирующие научную и(или) научно-техническую деятельность через открытые конкурсы заявок, проектов или программ, пользуются равными правами с российскими фондами, действующими на территории Пермского края.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Международное сотрудничество в сфере научной и(или) научно-технической деятельности, подготовки или переподготовки кадров осуществляется на основе межправительственных соглашений, договоров между отдельными регионами стран - участниц международного сотрудничества, а также по прямым договорам за счет средств, перечисляемых юридическими и физическими лицами, или на компенсационной основе.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Иностранные инвестиции в область науки и техники осуществляются в порядке и в формах, предусмотренных законодательством Российской Федерации.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21" w:name="Par216"/>
      <w:bookmarkEnd w:id="21"/>
      <w:r>
        <w:rPr>
          <w:rFonts w:ascii="Calibri" w:hAnsi="Calibri" w:cs="Calibri"/>
          <w:b/>
          <w:bCs/>
        </w:rPr>
        <w:t>Раздел V. ЗАКЛЮЧИТЕЛЬНЫЕ ПОЛОЖЕНИЯ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2" w:name="Par218"/>
      <w:bookmarkEnd w:id="22"/>
      <w:r>
        <w:rPr>
          <w:rFonts w:ascii="Calibri" w:hAnsi="Calibri" w:cs="Calibri"/>
        </w:rPr>
        <w:t>Статья 18. Вступление в силу настоящего Закона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вступает в силу через десять дней после дня его официального опубликования.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Со дня вступления в силу настоящего Закона признать утратившим силу </w:t>
      </w:r>
      <w:hyperlink r:id="rId3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Пермской области от 14.05.1998 N 96-2 "О науке и научно-технической политике в Пермской области" (Бюллетень Законодательного Собрания и администрации Пермской области, 1998, N 3-4).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Пермского края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О.А.ЧИРКУНОВ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02.04.2008 N 220-ПК</w:t>
      </w: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9A0" w:rsidRDefault="006C09A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470F02" w:rsidRDefault="006C09A0">
      <w:bookmarkStart w:id="23" w:name="_GoBack"/>
      <w:bookmarkEnd w:id="23"/>
    </w:p>
    <w:sectPr w:rsidR="00470F02" w:rsidSect="001E0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9A0"/>
    <w:rsid w:val="00693292"/>
    <w:rsid w:val="006C09A0"/>
    <w:rsid w:val="00FA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ACFDB-3175-4BC2-84AF-DA2618C4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BA5FC6EB91009718736042EAF391C8162E4B0703A9955210B36A70910B2E01k1w4H" TargetMode="External"/><Relationship Id="rId13" Type="http://schemas.openxmlformats.org/officeDocument/2006/relationships/hyperlink" Target="consultantplus://offline/ref=D2BA5FC6EB91009718736042EAF391C8162E4B0701A7915510B36A70910B2E011438B2782DA49EBBA16D25kAw7H" TargetMode="External"/><Relationship Id="rId18" Type="http://schemas.openxmlformats.org/officeDocument/2006/relationships/hyperlink" Target="consultantplus://offline/ref=D2BA5FC6EB91009718736042EAF391C8162E4B0703A0925013B36A70910B2E011438B2782DA49EBBA16D26kAw0H" TargetMode="External"/><Relationship Id="rId26" Type="http://schemas.openxmlformats.org/officeDocument/2006/relationships/hyperlink" Target="consultantplus://offline/ref=D2BA5FC6EB91009718736042EAF391C8162E4B0703A0925013B36A70910B2E011438B2782DA49EBBA16D26kAw2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2BA5FC6EB91009718736042EAF391C8162E4B0701A7915510B36A70910B2E011438B2782DA49EBBA16D24kAw0H" TargetMode="External"/><Relationship Id="rId7" Type="http://schemas.openxmlformats.org/officeDocument/2006/relationships/hyperlink" Target="consultantplus://offline/ref=D2BA5FC6EB91009718737E4FFC9FCCC31F211C0804A89A0048EC312DC60224565377EB3A69A99DBFkAw1H" TargetMode="External"/><Relationship Id="rId12" Type="http://schemas.openxmlformats.org/officeDocument/2006/relationships/hyperlink" Target="consultantplus://offline/ref=D2BA5FC6EB91009718736042EAF391C8162E4B0701A7915510B36A70910B2E011438B2782DA49EBBA16D25kAw4H" TargetMode="External"/><Relationship Id="rId17" Type="http://schemas.openxmlformats.org/officeDocument/2006/relationships/hyperlink" Target="consultantplus://offline/ref=D2BA5FC6EB91009718736042EAF391C8162E4B0703A0925013B36A70910B2E011438B2782DA49EBBA16D26kAw1H" TargetMode="External"/><Relationship Id="rId25" Type="http://schemas.openxmlformats.org/officeDocument/2006/relationships/hyperlink" Target="consultantplus://offline/ref=D2BA5FC6EB91009718736042EAF391C8162E4B0703A4975415B36A70910B2E01k1w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2BA5FC6EB91009718736042EAF391C8162E4B0703A0925013B36A70910B2E011438B2782DA49EBBA16D27kAw9H" TargetMode="External"/><Relationship Id="rId20" Type="http://schemas.openxmlformats.org/officeDocument/2006/relationships/hyperlink" Target="consultantplus://offline/ref=D2BA5FC6EB91009718736042EAF391C8162E4B0701A7915510B36A70910B2E011438B2782DA49EBBA16D24kAw0H" TargetMode="External"/><Relationship Id="rId29" Type="http://schemas.openxmlformats.org/officeDocument/2006/relationships/hyperlink" Target="consultantplus://offline/ref=D2BA5FC6EB91009718736042EAF391C8162E4B0703A0925013B36A70910B2E011438B2782DA49EBBA16D26kAw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2BA5FC6EB91009718737E4FFC9FCCC31C2D120F0EF6CD0219B93Fk2w8H" TargetMode="External"/><Relationship Id="rId11" Type="http://schemas.openxmlformats.org/officeDocument/2006/relationships/hyperlink" Target="consultantplus://offline/ref=D2BA5FC6EB91009718736042EAF391C8162E4B0701A7915510B36A70910B2E011438B2782DA49EBBA16D25kAw5H" TargetMode="External"/><Relationship Id="rId24" Type="http://schemas.openxmlformats.org/officeDocument/2006/relationships/hyperlink" Target="consultantplus://offline/ref=D2BA5FC6EB91009718736042EAF391C8162E4B0701A7915510B36A70910B2E011438B2782DA49EBBA16D24kAw2H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D2BA5FC6EB91009718736042EAF391C8162E4B0703A0925013B36A70910B2E011438B2782DA49EBBA16D27kAw6H" TargetMode="External"/><Relationship Id="rId15" Type="http://schemas.openxmlformats.org/officeDocument/2006/relationships/hyperlink" Target="consultantplus://offline/ref=D2BA5FC6EB91009718736042EAF391C8162E4B0701A7915510B36A70910B2E011438B2782DA49EBBA16D25kAw9H" TargetMode="External"/><Relationship Id="rId23" Type="http://schemas.openxmlformats.org/officeDocument/2006/relationships/hyperlink" Target="consultantplus://offline/ref=D2BA5FC6EB91009718736042EAF391C8162E4B0701A7915510B36A70910B2E011438B2782DA49EBBA16D24kAw3H" TargetMode="External"/><Relationship Id="rId28" Type="http://schemas.openxmlformats.org/officeDocument/2006/relationships/hyperlink" Target="consultantplus://offline/ref=D2BA5FC6EB91009718736042EAF391C8162E4B0703A0925013B36A70910B2E011438B2782DA49EBBA16D26kAw7H" TargetMode="External"/><Relationship Id="rId10" Type="http://schemas.openxmlformats.org/officeDocument/2006/relationships/hyperlink" Target="consultantplus://offline/ref=D2BA5FC6EB91009718736042EAF391C8162E4B0701A7915510B36A70910B2E011438B2782DA49EBBA16D25kAw5H" TargetMode="External"/><Relationship Id="rId19" Type="http://schemas.openxmlformats.org/officeDocument/2006/relationships/hyperlink" Target="consultantplus://offline/ref=D2BA5FC6EB91009718736042EAF391C8162E4B0701A7915510B36A70910B2E011438B2782DA49EBBA16D24kAw1H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D2BA5FC6EB91009718736042EAF391C8162E4B0701A7915510B36A70910B2E011438B2782DA49EBBA16D25kAw3H" TargetMode="External"/><Relationship Id="rId9" Type="http://schemas.openxmlformats.org/officeDocument/2006/relationships/hyperlink" Target="consultantplus://offline/ref=D2BA5FC6EB91009718736042EAF391C8162E4B0701A7915510B36A70910B2E011438B2782DA49EBBA16D25kAw2H" TargetMode="External"/><Relationship Id="rId14" Type="http://schemas.openxmlformats.org/officeDocument/2006/relationships/hyperlink" Target="consultantplus://offline/ref=D2BA5FC6EB91009718736042EAF391C8162E4B0701A7915510B36A70910B2E011438B2782DA49EBBA16D25kAw7H" TargetMode="External"/><Relationship Id="rId22" Type="http://schemas.openxmlformats.org/officeDocument/2006/relationships/hyperlink" Target="consultantplus://offline/ref=D2BA5FC6EB91009718736042EAF391C8162E4B0701A7915510B36A70910B2E011438B2782DA49EBBA16D24kAw0H" TargetMode="External"/><Relationship Id="rId27" Type="http://schemas.openxmlformats.org/officeDocument/2006/relationships/hyperlink" Target="consultantplus://offline/ref=D2BA5FC6EB91009718736042EAF391C8162E4B0701A7915510B36A70910B2E011438B2782DA49EBBA16D24kAw5H" TargetMode="External"/><Relationship Id="rId30" Type="http://schemas.openxmlformats.org/officeDocument/2006/relationships/hyperlink" Target="consultantplus://offline/ref=D2BA5FC6EB91009718736042EAF391C8162E4B0701A5945E1FEE6078C8072Ck0w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4185</Words>
  <Characters>23859</Characters>
  <Application>Microsoft Office Word</Application>
  <DocSecurity>0</DocSecurity>
  <Lines>198</Lines>
  <Paragraphs>55</Paragraphs>
  <ScaleCrop>false</ScaleCrop>
  <Company/>
  <LinksUpToDate>false</LinksUpToDate>
  <CharactersWithSpaces>27989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Gubin, Nikita A.</dc:creator>
  <cp:keywords/>
  <dc:description/>
  <cp:lastModifiedBy>Gubin, Nikita A.</cp:lastModifiedBy>
  <cp:revision>1</cp:revision>
  <dcterms:created xsi:type="dcterms:W3CDTF">2014-04-28T07:48:00Z</dcterms:created>
  <dcterms:modified xsi:type="dcterms:W3CDTF">2014-04-28T07:49:00Z</dcterms:modified>
</cp:coreProperties>
</file>